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5" w14:textId="6D43A68C" w:rsidR="00BA3C4A" w:rsidRDefault="00DF20DB" w:rsidP="002E5ECA">
      <w:pPr>
        <w:pStyle w:val="Title"/>
        <w:jc w:val="center"/>
      </w:pPr>
      <w:bookmarkStart w:id="0" w:name="_7hf4n4kzbohg" w:colFirst="0" w:colLast="0"/>
      <w:bookmarkEnd w:id="0"/>
      <w:r>
        <w:t>Instructional Design Philosophy</w:t>
      </w:r>
    </w:p>
    <w:p w14:paraId="00000006" w14:textId="77777777" w:rsidR="00BA3C4A" w:rsidRDefault="00DF20DB">
      <w:pPr>
        <w:pStyle w:val="Heading1"/>
      </w:pPr>
      <w:bookmarkStart w:id="1" w:name="_dai4o93evu1t" w:colFirst="0" w:colLast="0"/>
      <w:bookmarkEnd w:id="1"/>
      <w:r>
        <w:t>Introduction</w:t>
      </w:r>
    </w:p>
    <w:p w14:paraId="00000007" w14:textId="740921E3" w:rsidR="00BA3C4A" w:rsidRDefault="00CA55BF">
      <w:pPr>
        <w:spacing w:line="360" w:lineRule="auto"/>
      </w:pPr>
      <w:r w:rsidRPr="2C6E47D3">
        <w:rPr>
          <w:lang w:val="en-US"/>
        </w:rPr>
        <w:t xml:space="preserve">I chose to pursue instructional design to strengthen </w:t>
      </w:r>
      <w:r w:rsidR="002E5ECA">
        <w:rPr>
          <w:lang w:val="en-US"/>
        </w:rPr>
        <w:t>the way</w:t>
      </w:r>
      <w:r w:rsidRPr="2C6E47D3">
        <w:rPr>
          <w:lang w:val="en-US"/>
        </w:rPr>
        <w:t xml:space="preserve"> professional learning is designed and delivered for educators. My work in early childhood education has shown me that </w:t>
      </w:r>
      <w:r w:rsidR="002E5ECA">
        <w:rPr>
          <w:lang w:val="en-US"/>
        </w:rPr>
        <w:t>children's</w:t>
      </w:r>
      <w:r w:rsidRPr="2C6E47D3">
        <w:rPr>
          <w:lang w:val="en-US"/>
        </w:rPr>
        <w:t xml:space="preserve"> success depends on the growth of the adults who serve them. Too often, professional development feels disconnected from daily classroom realities, limiting its impact. Instructional design provides a framework for bridging that gap by combining creativity, research, and empathy to create learning experiences that are relevant, engaging, and transformative. Grounded in my experience as a coach, I view design as an analytical and human process that must honor learners’ contexts, experiences, and emotional readiness to engage in change.</w:t>
      </w:r>
    </w:p>
    <w:p w14:paraId="4928EF96" w14:textId="287C2CAF" w:rsidR="00CA55BF" w:rsidRDefault="00CA55BF">
      <w:pPr>
        <w:spacing w:line="360" w:lineRule="auto"/>
      </w:pPr>
      <w:r>
        <w:t xml:space="preserve">My philosophy of instructional design centers on relevance, respect, and reflection, principles drawn from both constructivist and andragogical theories of adult learning. Constructivism emphasizes that learners build meaning through authentic, collaborative experiences (Bovi, 2024), while Knowles’ andragogical model highlights adults’ need for autonomy </w:t>
      </w:r>
      <w:r w:rsidR="001F5EF5">
        <w:t>for</w:t>
      </w:r>
      <w:r>
        <w:t xml:space="preserve"> real-world application (Teaching Excellence in Adult Literacy [TEAL</w:t>
      </w:r>
      <w:r w:rsidR="001F5EF5">
        <w:t>],</w:t>
      </w:r>
      <w:r>
        <w:t xml:space="preserve"> 2011). I also draw from the Cognitive Apprenticeship Model, which emphasizes modeling, scaffolding, and guided reflection through mentoring relationships (Matsuo, 2024). Much like in coaching, effective design depends on asking purposeful questions that spark insight and self-analysis. I pair this with principles of Empathic Design, which emphasize understanding the learner’s emotional landscape and designing experiences that foster psychological safety and engagement. As Pappas (2024) explains, empathic instructional design begins with seeing learners as whole people and crafting experiences that connect to their motivations, barriers, and lived realities. Many of the educators I work with enter professional learning from a place of exhaustion or burnout, so approaching design through empathy ensures that training feels supportive and relevant rather than obligatory.</w:t>
      </w:r>
    </w:p>
    <w:p w14:paraId="00000009" w14:textId="1639AE72" w:rsidR="00BA3C4A" w:rsidRDefault="00CA55BF">
      <w:pPr>
        <w:spacing w:line="360" w:lineRule="auto"/>
      </w:pPr>
      <w:r w:rsidRPr="2C6E47D3">
        <w:rPr>
          <w:lang w:val="en-US"/>
        </w:rPr>
        <w:t>Ultimately, I believe instructional design should empower rather than prescribe. Like Darling-Hammond, who advocates for contextual and apprenticeship-style learning (</w:t>
      </w:r>
      <w:r w:rsidR="00CB37B8" w:rsidRPr="2C6E47D3">
        <w:rPr>
          <w:lang w:val="en-US"/>
        </w:rPr>
        <w:t>Darling &amp; Cook, 2018</w:t>
      </w:r>
      <w:r w:rsidRPr="2C6E47D3">
        <w:rPr>
          <w:lang w:val="en-US"/>
        </w:rPr>
        <w:t xml:space="preserve">), I see the designer’s role as creating the conditions where learning can take root and flourish. My goal is to move professional development beyond compliance-driven training toward dynamic, inquiry-based learning that supports lasting growth. By designing with intention </w:t>
      </w:r>
      <w:r w:rsidRPr="2C6E47D3">
        <w:rPr>
          <w:lang w:val="en-US"/>
        </w:rPr>
        <w:lastRenderedPageBreak/>
        <w:t>and empathy, I hope to build systems that not only improve educator practice but also strengthen the quality and equity of early learning experiences for all children.</w:t>
      </w:r>
    </w:p>
    <w:p w14:paraId="0000000B" w14:textId="77777777" w:rsidR="00BA3C4A" w:rsidRDefault="00DF20DB">
      <w:pPr>
        <w:pStyle w:val="Heading1"/>
      </w:pPr>
      <w:bookmarkStart w:id="2" w:name="_gp10afmw0ham" w:colFirst="0" w:colLast="0"/>
      <w:bookmarkEnd w:id="2"/>
      <w:r>
        <w:t>Impact of Instructional Design on Learning</w:t>
      </w:r>
    </w:p>
    <w:p w14:paraId="564828F9" w14:textId="4CB7CE19" w:rsidR="00C25798" w:rsidRDefault="00C92F69" w:rsidP="00850A4E">
      <w:pPr>
        <w:spacing w:line="360" w:lineRule="auto"/>
      </w:pPr>
      <w:r w:rsidRPr="2C6E47D3">
        <w:rPr>
          <w:lang w:val="en-US"/>
        </w:rPr>
        <w:t xml:space="preserve">My understanding of instructional design </w:t>
      </w:r>
      <w:r w:rsidR="009B5ED6" w:rsidRPr="2C6E47D3">
        <w:rPr>
          <w:lang w:val="en-US"/>
        </w:rPr>
        <w:t>is rooted in years of experience in early childhood education</w:t>
      </w:r>
      <w:r w:rsidR="00C23D25">
        <w:rPr>
          <w:lang w:val="en-US"/>
        </w:rPr>
        <w:t>,</w:t>
      </w:r>
      <w:r w:rsidR="009B5ED6" w:rsidRPr="2C6E47D3">
        <w:rPr>
          <w:lang w:val="en-US"/>
        </w:rPr>
        <w:t xml:space="preserve"> where I often saw professional development fall short of supporting real change. Many trainings delivered information without creating space for educators to connect new ideas to their own contexts, and some even implied a lack of professional competence among participants. Over time, I came to see that effective instructional design is essential for transforming PD from passive, compliance-focused sessions into relevant learning that educators can apply. Approaches that center the learner, including constructivist and andragogical theories, reinforce this belief by emphasizing the importance of relevance, autonomy, and experience in adult learning (Bovi, 2024; TEAL</w:t>
      </w:r>
      <w:r w:rsidR="006354E4" w:rsidRPr="2C6E47D3">
        <w:rPr>
          <w:lang w:val="en-US"/>
        </w:rPr>
        <w:t>,</w:t>
      </w:r>
      <w:r w:rsidR="009B5ED6" w:rsidRPr="2C6E47D3">
        <w:rPr>
          <w:lang w:val="en-US"/>
        </w:rPr>
        <w:t xml:space="preserve"> 201</w:t>
      </w:r>
      <w:r w:rsidR="00851C87" w:rsidRPr="2C6E47D3">
        <w:rPr>
          <w:lang w:val="en-US"/>
        </w:rPr>
        <w:t>1</w:t>
      </w:r>
      <w:r w:rsidR="009B5ED6" w:rsidRPr="2C6E47D3">
        <w:rPr>
          <w:lang w:val="en-US"/>
        </w:rPr>
        <w:t xml:space="preserve">). Design Thinking also </w:t>
      </w:r>
      <w:r w:rsidR="00C23D25">
        <w:rPr>
          <w:lang w:val="en-US"/>
        </w:rPr>
        <w:t>deepens my understanding through its emphasis on empathy, collaboration, and authentic problem-solving, which closely align with</w:t>
      </w:r>
      <w:r w:rsidR="00701FCA" w:rsidRPr="2C6E47D3">
        <w:rPr>
          <w:lang w:val="en-US"/>
        </w:rPr>
        <w:t xml:space="preserve"> the needs of adult learners. Research supports the synergy between Design Thinking and constructivist learning, noting that both prioritize </w:t>
      </w:r>
      <w:proofErr w:type="gramStart"/>
      <w:r w:rsidR="00701FCA" w:rsidRPr="2C6E47D3">
        <w:rPr>
          <w:lang w:val="en-US"/>
        </w:rPr>
        <w:t>meaning-making</w:t>
      </w:r>
      <w:proofErr w:type="gramEnd"/>
      <w:r w:rsidR="00701FCA" w:rsidRPr="2C6E47D3">
        <w:rPr>
          <w:lang w:val="en-US"/>
        </w:rPr>
        <w:t xml:space="preserve"> through real tasks and reflection (Pande &amp; Bharathi, 2020). These perspectives helped me see instructional design as a practical</w:t>
      </w:r>
      <w:r w:rsidR="00C23D25">
        <w:rPr>
          <w:lang w:val="en-US"/>
        </w:rPr>
        <w:t>,</w:t>
      </w:r>
      <w:r w:rsidR="00701FCA" w:rsidRPr="2C6E47D3">
        <w:rPr>
          <w:lang w:val="en-US"/>
        </w:rPr>
        <w:t xml:space="preserve"> relational tool for creating learning </w:t>
      </w:r>
      <w:r w:rsidR="00C23D25">
        <w:rPr>
          <w:lang w:val="en-US"/>
        </w:rPr>
        <w:t xml:space="preserve">experiences </w:t>
      </w:r>
      <w:r w:rsidR="00701FCA" w:rsidRPr="2C6E47D3">
        <w:rPr>
          <w:lang w:val="en-US"/>
        </w:rPr>
        <w:t>that can be implemented in real classrooms.</w:t>
      </w:r>
    </w:p>
    <w:p w14:paraId="0000000D" w14:textId="1A58CF07" w:rsidR="00BA3C4A" w:rsidRDefault="00921B69">
      <w:pPr>
        <w:pStyle w:val="Heading1"/>
      </w:pPr>
      <w:bookmarkStart w:id="3" w:name="_s6nloawpze7n" w:colFirst="0" w:colLast="0"/>
      <w:bookmarkEnd w:id="3"/>
      <w:r>
        <w:t>My</w:t>
      </w:r>
      <w:r w:rsidR="00DF20DB">
        <w:t xml:space="preserve"> Instructional Design Approach</w:t>
      </w:r>
    </w:p>
    <w:p w14:paraId="0000000E" w14:textId="5829ADC2" w:rsidR="00BA3C4A" w:rsidRDefault="00910CE0" w:rsidP="00022F9A">
      <w:pPr>
        <w:spacing w:line="360" w:lineRule="auto"/>
      </w:pPr>
      <w:r w:rsidRPr="2C6E47D3">
        <w:rPr>
          <w:lang w:val="en-US"/>
        </w:rPr>
        <w:t xml:space="preserve">My design process </w:t>
      </w:r>
      <w:r w:rsidR="00022F9A" w:rsidRPr="2C6E47D3">
        <w:rPr>
          <w:lang w:val="en-US"/>
        </w:rPr>
        <w:t>reflects a blend of backward design, cognitive apprenticeship, and human-centered thinking. I begin by identifying the outco</w:t>
      </w:r>
      <w:r w:rsidR="00961EF3" w:rsidRPr="2C6E47D3">
        <w:rPr>
          <w:lang w:val="en-US"/>
        </w:rPr>
        <w:t>m</w:t>
      </w:r>
      <w:r w:rsidR="00022F9A" w:rsidRPr="2C6E47D3">
        <w:rPr>
          <w:lang w:val="en-US"/>
        </w:rPr>
        <w:t>es educators need to implement and then plan opportunities for discussion, modeling, scaffolded practice, and feedback (Matsuo, 2024). I focus on under</w:t>
      </w:r>
      <w:r w:rsidR="00961EF3" w:rsidRPr="2C6E47D3">
        <w:rPr>
          <w:lang w:val="en-US"/>
        </w:rPr>
        <w:t xml:space="preserve">standing the realities </w:t>
      </w:r>
      <w:r w:rsidR="00C23D25">
        <w:rPr>
          <w:lang w:val="en-US"/>
        </w:rPr>
        <w:t xml:space="preserve">that </w:t>
      </w:r>
      <w:r w:rsidR="00961EF3" w:rsidRPr="2C6E47D3">
        <w:rPr>
          <w:lang w:val="en-US"/>
        </w:rPr>
        <w:t xml:space="preserve">educators bring to professional learning, </w:t>
      </w:r>
      <w:r w:rsidR="00C23D25">
        <w:rPr>
          <w:lang w:val="en-US"/>
        </w:rPr>
        <w:t>including</w:t>
      </w:r>
      <w:r w:rsidR="00961EF3" w:rsidRPr="2C6E47D3">
        <w:rPr>
          <w:lang w:val="en-US"/>
        </w:rPr>
        <w:t xml:space="preserve"> their strengths, needs, and emotional readiness. From that foundation, I develop a range of possible learning experiences and refine them through pilot sessions, coaching conversations</w:t>
      </w:r>
      <w:r w:rsidR="0060611E" w:rsidRPr="2C6E47D3">
        <w:rPr>
          <w:lang w:val="en-US"/>
        </w:rPr>
        <w:t>, or participant feedback. This iterative mindset is supported by pedagogical approaches like Design Thinking that value responsiveness to user experience without requiring an over</w:t>
      </w:r>
      <w:r w:rsidR="007F070F" w:rsidRPr="2C6E47D3">
        <w:rPr>
          <w:lang w:val="en-US"/>
        </w:rPr>
        <w:t>ly structured</w:t>
      </w:r>
      <w:r w:rsidR="0060611E" w:rsidRPr="2C6E47D3">
        <w:rPr>
          <w:lang w:val="en-US"/>
        </w:rPr>
        <w:t xml:space="preserve"> process. Research on Design Thinking highlights its compatibility with constructivist principles such as collaboration, authentic tasks, and shared knowledge building (Pande &amp; Bharathi, 2020)</w:t>
      </w:r>
      <w:r w:rsidR="00C23D25">
        <w:rPr>
          <w:lang w:val="en-US"/>
        </w:rPr>
        <w:t>.</w:t>
      </w:r>
      <w:r w:rsidR="0060611E" w:rsidRPr="2C6E47D3">
        <w:rPr>
          <w:lang w:val="en-US"/>
        </w:rPr>
        <w:t xml:space="preserve"> </w:t>
      </w:r>
      <w:r w:rsidR="00C23D25">
        <w:rPr>
          <w:lang w:val="en-US"/>
        </w:rPr>
        <w:t>T</w:t>
      </w:r>
      <w:r w:rsidR="0060611E" w:rsidRPr="2C6E47D3">
        <w:rPr>
          <w:lang w:val="en-US"/>
        </w:rPr>
        <w:t xml:space="preserve">hese elements naturally fit into my commitment to designing learning that is </w:t>
      </w:r>
      <w:r w:rsidR="006D297A" w:rsidRPr="2C6E47D3">
        <w:rPr>
          <w:lang w:val="en-US"/>
        </w:rPr>
        <w:t xml:space="preserve">dialogic </w:t>
      </w:r>
      <w:r w:rsidR="006D297A" w:rsidRPr="2C6E47D3">
        <w:rPr>
          <w:lang w:val="en-US"/>
        </w:rPr>
        <w:lastRenderedPageBreak/>
        <w:t>and grounded in educators’ contexts. Ultimately, I aim to create professional learning environments where participants can reflect, practice, and co-construct understanding.</w:t>
      </w:r>
    </w:p>
    <w:p w14:paraId="0000000F" w14:textId="77777777" w:rsidR="00BA3C4A" w:rsidRDefault="00DF20DB">
      <w:pPr>
        <w:pStyle w:val="Heading1"/>
      </w:pPr>
      <w:bookmarkStart w:id="4" w:name="_udqq63ws0nc2" w:colFirst="0" w:colLast="0"/>
      <w:bookmarkEnd w:id="4"/>
      <w:r>
        <w:t>Justification For My Design Approach</w:t>
      </w:r>
    </w:p>
    <w:p w14:paraId="00000011" w14:textId="2ECC80F1" w:rsidR="00BA3C4A" w:rsidRDefault="006D297A" w:rsidP="00015F17">
      <w:pPr>
        <w:spacing w:line="360" w:lineRule="auto"/>
      </w:pPr>
      <w:r w:rsidRPr="2C6E47D3">
        <w:rPr>
          <w:lang w:val="en-US"/>
        </w:rPr>
        <w:t>I design in this way because educators deserve learning experiences that honor their professionalism and support their growth. Too often, PD in early childhood education reflect</w:t>
      </w:r>
      <w:r w:rsidR="006354E4" w:rsidRPr="2C6E47D3">
        <w:rPr>
          <w:lang w:val="en-US"/>
        </w:rPr>
        <w:t>s</w:t>
      </w:r>
      <w:r w:rsidRPr="2C6E47D3">
        <w:rPr>
          <w:lang w:val="en-US"/>
        </w:rPr>
        <w:t xml:space="preserve"> deficit thinking, treats teachers as passive recipients, or relies on approaches that do not translate into practice. I am committed to creating </w:t>
      </w:r>
      <w:r w:rsidR="00BF67C3" w:rsidRPr="2C6E47D3">
        <w:rPr>
          <w:lang w:val="en-US"/>
        </w:rPr>
        <w:t>learning that is relevant, respectful, and empowering. Stommel (2018) notes that course design can either humanize or constrain, and I believe the same is true in professional development. Approaches that draw on empathy and collaboration, including aspects of Design Thinking, help me design with a focus on the learner’s experience rather than on compliance. The constructivist foundations that emphasize social negotiation, authentic tasks, and personal relevance also reinforce my belief that learning must be connected to the realities</w:t>
      </w:r>
      <w:r w:rsidR="00CF6914" w:rsidRPr="2C6E47D3">
        <w:rPr>
          <w:lang w:val="en-US"/>
        </w:rPr>
        <w:t xml:space="preserve"> of educators’ daily work (Pande &amp; Bharathi, 2020). I am motivated by the understanding that meaningful </w:t>
      </w:r>
      <w:r w:rsidR="006A2733" w:rsidRPr="2C6E47D3">
        <w:rPr>
          <w:lang w:val="en-US"/>
        </w:rPr>
        <w:t>adult learning improves instructional practice, and improve</w:t>
      </w:r>
      <w:r w:rsidR="006354E4" w:rsidRPr="2C6E47D3">
        <w:rPr>
          <w:lang w:val="en-US"/>
        </w:rPr>
        <w:t>d</w:t>
      </w:r>
      <w:r w:rsidR="006A2733" w:rsidRPr="2C6E47D3">
        <w:rPr>
          <w:lang w:val="en-US"/>
        </w:rPr>
        <w:t xml:space="preserve"> practice directly impacts children. Designing with intention and care allows me to contribute to systems where growth is possible and where educators feel seen and valued.</w:t>
      </w:r>
    </w:p>
    <w:p w14:paraId="79D778B1" w14:textId="77777777" w:rsidR="002E5ECA" w:rsidRDefault="002E5ECA">
      <w:pPr>
        <w:rPr>
          <w:b/>
          <w:sz w:val="32"/>
          <w:szCs w:val="32"/>
        </w:rPr>
      </w:pPr>
      <w:bookmarkStart w:id="5" w:name="_1x0wont9ssvb" w:colFirst="0" w:colLast="0"/>
      <w:bookmarkStart w:id="6" w:name="_6yhvr5uwv569" w:colFirst="0" w:colLast="0"/>
      <w:bookmarkEnd w:id="5"/>
      <w:bookmarkEnd w:id="6"/>
      <w:r>
        <w:br w:type="page"/>
      </w:r>
    </w:p>
    <w:p w14:paraId="00000016" w14:textId="5A4DE859" w:rsidR="00BA3C4A" w:rsidRDefault="00DF20DB">
      <w:pPr>
        <w:pStyle w:val="Heading1"/>
      </w:pPr>
      <w:r>
        <w:lastRenderedPageBreak/>
        <w:t>Bibliography</w:t>
      </w:r>
    </w:p>
    <w:p w14:paraId="0829802F" w14:textId="180F3BFD" w:rsidR="001F5EF5" w:rsidRPr="001F5EF5" w:rsidRDefault="001F5EF5" w:rsidP="001F5EF5">
      <w:pPr>
        <w:spacing w:line="360" w:lineRule="auto"/>
        <w:ind w:left="720" w:hanging="720"/>
      </w:pPr>
      <w:r w:rsidRPr="2C6E47D3">
        <w:rPr>
          <w:lang w:val="en-US"/>
        </w:rPr>
        <w:t xml:space="preserve">Bovi M. (2024, July 7). </w:t>
      </w:r>
      <w:r w:rsidRPr="2C6E47D3">
        <w:rPr>
          <w:i/>
          <w:iCs/>
          <w:lang w:val="en-US"/>
        </w:rPr>
        <w:t xml:space="preserve">7 essential principles of constructivist learning theory that every teacher should know. </w:t>
      </w:r>
      <w:r w:rsidRPr="2C6E47D3">
        <w:rPr>
          <w:lang w:val="en-US"/>
        </w:rPr>
        <w:t xml:space="preserve">Teachfloor. </w:t>
      </w:r>
      <w:hyperlink r:id="rId6">
        <w:r w:rsidRPr="2C6E47D3">
          <w:rPr>
            <w:rStyle w:val="Hyperlink"/>
            <w:lang w:val="en-US"/>
          </w:rPr>
          <w:t>https://www.teachfloor.com/blog/constructivist-learning-theory</w:t>
        </w:r>
      </w:hyperlink>
    </w:p>
    <w:p w14:paraId="535BB417" w14:textId="4F11ACAD" w:rsidR="006839B8" w:rsidRDefault="006839B8" w:rsidP="001F5EF5">
      <w:pPr>
        <w:spacing w:line="360" w:lineRule="auto"/>
        <w:ind w:left="720" w:hanging="720"/>
      </w:pPr>
      <w:r w:rsidRPr="2C6E47D3">
        <w:rPr>
          <w:lang w:val="en-US"/>
        </w:rPr>
        <w:t xml:space="preserve">Darling-Hammond, L., &amp; Cook-Harvey, C. M. (2018). </w:t>
      </w:r>
      <w:r w:rsidRPr="2C6E47D3">
        <w:rPr>
          <w:rStyle w:val="Emphasis"/>
          <w:lang w:val="en-US"/>
        </w:rPr>
        <w:t>Educating the whole child: Improving school climate to support student success. </w:t>
      </w:r>
      <w:r w:rsidRPr="2C6E47D3">
        <w:rPr>
          <w:lang w:val="en-US"/>
        </w:rPr>
        <w:t xml:space="preserve">Palo Alto, CA: Learning Policy Institute. </w:t>
      </w:r>
      <w:hyperlink r:id="rId7">
        <w:r w:rsidRPr="2C6E47D3">
          <w:rPr>
            <w:rStyle w:val="Hyperlink"/>
            <w:lang w:val="en-US"/>
          </w:rPr>
          <w:t>https://doi.org/10.54300/145.655</w:t>
        </w:r>
      </w:hyperlink>
      <w:r w:rsidRPr="2C6E47D3">
        <w:rPr>
          <w:lang w:val="en-US"/>
        </w:rPr>
        <w:t>.</w:t>
      </w:r>
    </w:p>
    <w:p w14:paraId="5B728BAE" w14:textId="1185C177" w:rsidR="001F5EF5" w:rsidRDefault="001F5EF5" w:rsidP="001F5EF5">
      <w:pPr>
        <w:spacing w:line="360" w:lineRule="auto"/>
        <w:ind w:left="720" w:hanging="720"/>
      </w:pPr>
      <w:r w:rsidRPr="001F5EF5">
        <w:t xml:space="preserve">Matsuo, M. (2024). A revised model of cognitive apprenticeship: A qualitative study. International Journal of Training &amp; Development, 28(4), 454–472. </w:t>
      </w:r>
      <w:hyperlink r:id="rId8" w:history="1">
        <w:r w:rsidRPr="001F5EF5">
          <w:rPr>
            <w:rStyle w:val="Hyperlink"/>
          </w:rPr>
          <w:t>https://doi.org/10.1111/ijtd.12336</w:t>
        </w:r>
      </w:hyperlink>
    </w:p>
    <w:p w14:paraId="6759FC60" w14:textId="78F42739" w:rsidR="00A413E8" w:rsidRPr="00A413E8" w:rsidRDefault="00A413E8" w:rsidP="001F5EF5">
      <w:pPr>
        <w:spacing w:line="360" w:lineRule="auto"/>
        <w:ind w:left="720" w:hanging="720"/>
      </w:pPr>
      <w:r>
        <w:t xml:space="preserve">Pande, M., Bharathi, S. V. (2020). Theoretical foundations of design thinking – A constructivism learning approach to design thinking. </w:t>
      </w:r>
      <w:r>
        <w:rPr>
          <w:i/>
          <w:iCs/>
        </w:rPr>
        <w:t xml:space="preserve">Thinking Skills and Creativity, 36, </w:t>
      </w:r>
      <w:r>
        <w:t>A</w:t>
      </w:r>
      <w:r w:rsidR="00CE64EF">
        <w:t xml:space="preserve">rticle 100637. </w:t>
      </w:r>
      <w:hyperlink r:id="rId9" w:history="1">
        <w:r w:rsidR="00CE64EF" w:rsidRPr="00687CFC">
          <w:rPr>
            <w:rStyle w:val="Hyperlink"/>
          </w:rPr>
          <w:t>https://doi.org/10.1016/j.tsc.2020.100637</w:t>
        </w:r>
      </w:hyperlink>
      <w:r w:rsidR="00CE64EF">
        <w:t xml:space="preserve"> </w:t>
      </w:r>
    </w:p>
    <w:p w14:paraId="1F9AD406" w14:textId="6E042277" w:rsidR="001F5EF5" w:rsidRPr="001F5EF5" w:rsidRDefault="001F5EF5" w:rsidP="001F5EF5">
      <w:pPr>
        <w:spacing w:line="360" w:lineRule="auto"/>
        <w:ind w:left="720" w:hanging="720"/>
      </w:pPr>
      <w:r w:rsidRPr="001F5EF5">
        <w:t xml:space="preserve">Pappas, C. (2024, May 16). </w:t>
      </w:r>
      <w:r w:rsidRPr="001F5EF5">
        <w:rPr>
          <w:rStyle w:val="Emphasis"/>
        </w:rPr>
        <w:t>5 steps towards empathic instructional design in online training.</w:t>
      </w:r>
      <w:r w:rsidRPr="001F5EF5">
        <w:t xml:space="preserve"> eLearning Industry. </w:t>
      </w:r>
      <w:hyperlink r:id="rId10" w:tgtFrame="_new" w:history="1">
        <w:r w:rsidRPr="001F5EF5">
          <w:rPr>
            <w:rStyle w:val="Hyperlink"/>
          </w:rPr>
          <w:t>https://elearningindustry.com/5-steps-towards-empathic-instructional-design-online-training</w:t>
        </w:r>
      </w:hyperlink>
      <w:r w:rsidRPr="001F5EF5">
        <w:t xml:space="preserve"> </w:t>
      </w:r>
    </w:p>
    <w:p w14:paraId="35414DF6" w14:textId="20DA587D" w:rsidR="00EB2BB1" w:rsidRDefault="00EB2BB1" w:rsidP="2C6E47D3">
      <w:pPr>
        <w:spacing w:line="360" w:lineRule="auto"/>
        <w:ind w:left="720" w:hanging="720"/>
        <w:rPr>
          <w:rFonts w:eastAsia="Times New Roman"/>
          <w:color w:val="000000"/>
          <w:shd w:val="clear" w:color="auto" w:fill="FFFFFF"/>
          <w:lang w:val="en-US"/>
        </w:rPr>
      </w:pPr>
      <w:r w:rsidRPr="2C6E47D3">
        <w:rPr>
          <w:lang w:val="en-US"/>
        </w:rPr>
        <w:t xml:space="preserve">Stommel, J. (2018). How to build an ethical online course. In J. Stommel, C. Friend, &amp; S. Morris (Eds.), Critical digital pedagogy: A collection (Chapter 4). Hybrid Pedagogy Inc. </w:t>
      </w:r>
      <w:hyperlink r:id="rId11">
        <w:r w:rsidRPr="2C6E47D3">
          <w:rPr>
            <w:rStyle w:val="Hyperlink"/>
            <w:lang w:val="en-US"/>
          </w:rPr>
          <w:t>https://pressbooks.pub/criticaldigitalpedagogy/chapter/how-to-build-an-ethical-online-course/</w:t>
        </w:r>
      </w:hyperlink>
      <w:r w:rsidRPr="2C6E47D3">
        <w:rPr>
          <w:lang w:val="en-US"/>
        </w:rPr>
        <w:t xml:space="preserve"> </w:t>
      </w:r>
    </w:p>
    <w:p w14:paraId="14FC176F" w14:textId="4823A571" w:rsidR="005F322B" w:rsidRPr="005F322B" w:rsidRDefault="001F5EF5" w:rsidP="00E62B4B">
      <w:pPr>
        <w:spacing w:line="360" w:lineRule="auto"/>
        <w:ind w:left="720" w:hanging="720"/>
      </w:pPr>
      <w:r w:rsidRPr="001F5EF5">
        <w:rPr>
          <w:rFonts w:eastAsia="Times New Roman"/>
          <w:color w:val="000000"/>
          <w:shd w:val="clear" w:color="auto" w:fill="FFFFFF"/>
        </w:rPr>
        <w:t>Teaching Excellence in Adult Literacy (TEAL) Center. (2011). TEAL Center Fact Sheet No. 11: Adult learning theories. U.S. Department of Education, Office of Vocational and Adult Education (OVAE).</w:t>
      </w:r>
    </w:p>
    <w:sectPr w:rsidR="005F322B" w:rsidRPr="005F322B">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D141A" w14:textId="77777777" w:rsidR="00AE0BF1" w:rsidRDefault="00AE0BF1">
      <w:pPr>
        <w:spacing w:line="240" w:lineRule="auto"/>
      </w:pPr>
      <w:r>
        <w:separator/>
      </w:r>
    </w:p>
  </w:endnote>
  <w:endnote w:type="continuationSeparator" w:id="0">
    <w:p w14:paraId="017DC06C" w14:textId="77777777" w:rsidR="00AE0BF1" w:rsidRDefault="00AE0B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8" w14:textId="528F4CF7" w:rsidR="00BA3C4A" w:rsidRDefault="00DF20DB">
    <w:pPr>
      <w:jc w:val="center"/>
    </w:pPr>
    <w:r>
      <w:fldChar w:fldCharType="begin"/>
    </w:r>
    <w:r>
      <w:instrText>PAGE</w:instrText>
    </w:r>
    <w:r>
      <w:fldChar w:fldCharType="separate"/>
    </w:r>
    <w:r w:rsidR="00CA55BF">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46AAB" w14:textId="77777777" w:rsidR="00AE0BF1" w:rsidRDefault="00AE0BF1">
      <w:pPr>
        <w:spacing w:line="240" w:lineRule="auto"/>
      </w:pPr>
      <w:r>
        <w:separator/>
      </w:r>
    </w:p>
  </w:footnote>
  <w:footnote w:type="continuationSeparator" w:id="0">
    <w:p w14:paraId="4C439EC2" w14:textId="77777777" w:rsidR="00AE0BF1" w:rsidRDefault="00AE0BF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C4A"/>
    <w:rsid w:val="00011C26"/>
    <w:rsid w:val="00015F17"/>
    <w:rsid w:val="00022F9A"/>
    <w:rsid w:val="00090067"/>
    <w:rsid w:val="0012000A"/>
    <w:rsid w:val="00130DCC"/>
    <w:rsid w:val="00134F0A"/>
    <w:rsid w:val="00137EEE"/>
    <w:rsid w:val="001C2A1D"/>
    <w:rsid w:val="001F5EF5"/>
    <w:rsid w:val="0021040E"/>
    <w:rsid w:val="00211DCA"/>
    <w:rsid w:val="00254B62"/>
    <w:rsid w:val="002E5ECA"/>
    <w:rsid w:val="00324202"/>
    <w:rsid w:val="00335B97"/>
    <w:rsid w:val="005F322B"/>
    <w:rsid w:val="0060611E"/>
    <w:rsid w:val="006354E4"/>
    <w:rsid w:val="006839B8"/>
    <w:rsid w:val="006A2733"/>
    <w:rsid w:val="006D297A"/>
    <w:rsid w:val="00701FCA"/>
    <w:rsid w:val="007F070F"/>
    <w:rsid w:val="00824C17"/>
    <w:rsid w:val="00844651"/>
    <w:rsid w:val="00850A4E"/>
    <w:rsid w:val="00851C87"/>
    <w:rsid w:val="008D2474"/>
    <w:rsid w:val="00910CE0"/>
    <w:rsid w:val="00921B69"/>
    <w:rsid w:val="009534AF"/>
    <w:rsid w:val="00961EF3"/>
    <w:rsid w:val="00993177"/>
    <w:rsid w:val="009B5ED6"/>
    <w:rsid w:val="009D71F6"/>
    <w:rsid w:val="009F496C"/>
    <w:rsid w:val="00A413E8"/>
    <w:rsid w:val="00A45C88"/>
    <w:rsid w:val="00AA0722"/>
    <w:rsid w:val="00AE0BF1"/>
    <w:rsid w:val="00B10508"/>
    <w:rsid w:val="00B828B1"/>
    <w:rsid w:val="00BA3C4A"/>
    <w:rsid w:val="00BF67C3"/>
    <w:rsid w:val="00C23D25"/>
    <w:rsid w:val="00C25798"/>
    <w:rsid w:val="00C92F69"/>
    <w:rsid w:val="00CA55BF"/>
    <w:rsid w:val="00CB2910"/>
    <w:rsid w:val="00CB37B8"/>
    <w:rsid w:val="00CE64EF"/>
    <w:rsid w:val="00CF6914"/>
    <w:rsid w:val="00D419F8"/>
    <w:rsid w:val="00DD073B"/>
    <w:rsid w:val="00DF20DB"/>
    <w:rsid w:val="00E15780"/>
    <w:rsid w:val="00E258A3"/>
    <w:rsid w:val="00E36AB5"/>
    <w:rsid w:val="00E62B4B"/>
    <w:rsid w:val="00EB0923"/>
    <w:rsid w:val="00EB2BB1"/>
    <w:rsid w:val="00EC46E0"/>
    <w:rsid w:val="00EE1C58"/>
    <w:rsid w:val="00EE59C0"/>
    <w:rsid w:val="00FA7348"/>
    <w:rsid w:val="00FB2BAA"/>
    <w:rsid w:val="2C6E4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381A42"/>
  <w15:docId w15:val="{5F6A75EF-D711-A641-86AB-E91F4B6AB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360" w:lineRule="auto"/>
      <w:outlineLvl w:val="0"/>
    </w:pPr>
    <w:rPr>
      <w:b/>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1F5EF5"/>
    <w:rPr>
      <w:color w:val="0000FF" w:themeColor="hyperlink"/>
      <w:u w:val="single"/>
    </w:rPr>
  </w:style>
  <w:style w:type="character" w:styleId="Emphasis">
    <w:name w:val="Emphasis"/>
    <w:basedOn w:val="DefaultParagraphFont"/>
    <w:uiPriority w:val="20"/>
    <w:qFormat/>
    <w:rsid w:val="001F5EF5"/>
    <w:rPr>
      <w:i/>
      <w:iCs/>
    </w:rPr>
  </w:style>
  <w:style w:type="character" w:styleId="UnresolvedMention">
    <w:name w:val="Unresolved Mention"/>
    <w:basedOn w:val="DefaultParagraphFont"/>
    <w:uiPriority w:val="99"/>
    <w:semiHidden/>
    <w:unhideWhenUsed/>
    <w:rsid w:val="00CE64EF"/>
    <w:rPr>
      <w:color w:val="605E5C"/>
      <w:shd w:val="clear" w:color="auto" w:fill="E1DFDD"/>
    </w:rPr>
  </w:style>
  <w:style w:type="character" w:styleId="FollowedHyperlink">
    <w:name w:val="FollowedHyperlink"/>
    <w:basedOn w:val="DefaultParagraphFont"/>
    <w:uiPriority w:val="99"/>
    <w:semiHidden/>
    <w:unhideWhenUsed/>
    <w:rsid w:val="00EB2B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i.org/10.1111/ijtd.12336"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54300/145.655"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achfloor.com/blog/constructivist-learning-theory" TargetMode="External"/><Relationship Id="rId11" Type="http://schemas.openxmlformats.org/officeDocument/2006/relationships/hyperlink" Target="https://pressbooks.pub/criticaldigitalpedagogy/chapter/how-to-build-an-ethical-online-course/" TargetMode="External"/><Relationship Id="rId5" Type="http://schemas.openxmlformats.org/officeDocument/2006/relationships/endnotes" Target="endnotes.xml"/><Relationship Id="rId10" Type="http://schemas.openxmlformats.org/officeDocument/2006/relationships/hyperlink" Target="https://elearningindustry.com/5-steps-towards-empathic-instructional-design-online-training" TargetMode="External"/><Relationship Id="rId4" Type="http://schemas.openxmlformats.org/officeDocument/2006/relationships/footnotes" Target="footnotes.xml"/><Relationship Id="rId9" Type="http://schemas.openxmlformats.org/officeDocument/2006/relationships/hyperlink" Target="https://doi.org/10.1016/j.tsc.2020.10063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1170</Words>
  <Characters>7349</Characters>
  <Application>Microsoft Office Word</Application>
  <DocSecurity>0</DocSecurity>
  <Lines>106</Lines>
  <Paragraphs>23</Paragraphs>
  <ScaleCrop>false</ScaleCrop>
  <Company/>
  <LinksUpToDate>false</LinksUpToDate>
  <CharactersWithSpaces>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Lee</cp:lastModifiedBy>
  <cp:revision>5</cp:revision>
  <dcterms:created xsi:type="dcterms:W3CDTF">2026-03-25T22:27:00Z</dcterms:created>
  <dcterms:modified xsi:type="dcterms:W3CDTF">2026-03-25T22:29:00Z</dcterms:modified>
</cp:coreProperties>
</file>